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E4" w:rsidRPr="00107CC1" w:rsidRDefault="00107CC1" w:rsidP="00107CC1">
      <w:pPr>
        <w:pStyle w:val="Title"/>
        <w:jc w:val="center"/>
        <w:rPr>
          <w:rFonts w:ascii="Agency FB" w:hAnsi="Agency FB"/>
          <w:i/>
          <w:iCs/>
          <w:sz w:val="72"/>
          <w:szCs w:val="72"/>
        </w:rPr>
      </w:pPr>
      <w:r w:rsidRPr="00107CC1">
        <w:rPr>
          <w:rFonts w:ascii="Agency FB" w:hAnsi="Agency FB"/>
          <w:i/>
          <w:iCs/>
          <w:sz w:val="72"/>
          <w:szCs w:val="72"/>
        </w:rPr>
        <w:t>Forensic science</w:t>
      </w:r>
      <w:r>
        <w:rPr>
          <w:rFonts w:ascii="Agency FB" w:hAnsi="Agency FB"/>
          <w:i/>
          <w:iCs/>
          <w:sz w:val="72"/>
          <w:szCs w:val="72"/>
        </w:rPr>
        <w:t xml:space="preserve"> </w:t>
      </w:r>
      <w:r w:rsidRPr="00CD6EBA">
        <w:rPr>
          <w:rFonts w:ascii="Agency FB" w:hAnsi="Agency FB"/>
          <w:i/>
          <w:iCs/>
          <w:sz w:val="28"/>
          <w:szCs w:val="28"/>
        </w:rPr>
        <w:t>13/2017/</w:t>
      </w:r>
      <w:proofErr w:type="spellStart"/>
      <w:r w:rsidRPr="00CD6EBA">
        <w:rPr>
          <w:rFonts w:ascii="Agency FB" w:hAnsi="Agency FB"/>
          <w:i/>
          <w:iCs/>
          <w:sz w:val="28"/>
          <w:szCs w:val="28"/>
        </w:rPr>
        <w:t>feb</w:t>
      </w:r>
      <w:proofErr w:type="spellEnd"/>
    </w:p>
    <w:p w:rsidR="00107CC1" w:rsidRPr="00CD6EBA" w:rsidRDefault="00107CC1" w:rsidP="00107CC1">
      <w:pPr>
        <w:pStyle w:val="NormalWeb"/>
        <w:rPr>
          <w:color w:val="984806" w:themeColor="accent6" w:themeShade="80"/>
          <w:sz w:val="28"/>
          <w:szCs w:val="28"/>
          <w:lang w:val="en"/>
        </w:rPr>
      </w:pPr>
      <w:r w:rsidRPr="00CD6EBA">
        <w:rPr>
          <w:b/>
          <w:bCs/>
          <w:color w:val="984806" w:themeColor="accent6" w:themeShade="80"/>
          <w:sz w:val="28"/>
          <w:szCs w:val="28"/>
          <w:lang w:val="en"/>
        </w:rPr>
        <w:t>Forensic science</w:t>
      </w:r>
      <w:r w:rsidRPr="00CD6EBA">
        <w:rPr>
          <w:color w:val="984806" w:themeColor="accent6" w:themeShade="80"/>
          <w:sz w:val="28"/>
          <w:szCs w:val="28"/>
          <w:lang w:val="en"/>
        </w:rPr>
        <w:t xml:space="preserve"> is the application of </w:t>
      </w:r>
      <w:hyperlink r:id="rId5" w:tooltip="Science" w:history="1">
        <w:r w:rsidRPr="00CD6EBA">
          <w:rPr>
            <w:rStyle w:val="Hyperlink"/>
            <w:color w:val="984806" w:themeColor="accent6" w:themeShade="80"/>
            <w:sz w:val="28"/>
            <w:szCs w:val="28"/>
            <w:u w:val="none"/>
            <w:lang w:val="en"/>
          </w:rPr>
          <w:t>science</w:t>
        </w:r>
      </w:hyperlink>
      <w:r w:rsidRPr="00CD6EBA">
        <w:rPr>
          <w:color w:val="984806" w:themeColor="accent6" w:themeShade="80"/>
          <w:sz w:val="28"/>
          <w:szCs w:val="28"/>
          <w:lang w:val="en"/>
        </w:rPr>
        <w:t xml:space="preserve"> to </w:t>
      </w:r>
      <w:hyperlink r:id="rId6" w:tooltip="Criminal law" w:history="1">
        <w:r w:rsidRPr="00CD6EBA">
          <w:rPr>
            <w:rStyle w:val="Hyperlink"/>
            <w:color w:val="984806" w:themeColor="accent6" w:themeShade="80"/>
            <w:sz w:val="28"/>
            <w:szCs w:val="28"/>
            <w:u w:val="none"/>
            <w:lang w:val="en"/>
          </w:rPr>
          <w:t>criminal</w:t>
        </w:r>
      </w:hyperlink>
      <w:r w:rsidRPr="00CD6EBA">
        <w:rPr>
          <w:color w:val="984806" w:themeColor="accent6" w:themeShade="80"/>
          <w:sz w:val="28"/>
          <w:szCs w:val="28"/>
          <w:lang w:val="en"/>
        </w:rPr>
        <w:t xml:space="preserve"> and </w:t>
      </w:r>
      <w:hyperlink r:id="rId7" w:tooltip="Civil law (legal system)" w:history="1">
        <w:r w:rsidRPr="00CD6EBA">
          <w:rPr>
            <w:rStyle w:val="Hyperlink"/>
            <w:color w:val="984806" w:themeColor="accent6" w:themeShade="80"/>
            <w:sz w:val="28"/>
            <w:szCs w:val="28"/>
            <w:u w:val="none"/>
            <w:lang w:val="en"/>
          </w:rPr>
          <w:t>civil laws</w:t>
        </w:r>
      </w:hyperlink>
      <w:r w:rsidRPr="00CD6EBA">
        <w:rPr>
          <w:color w:val="984806" w:themeColor="accent6" w:themeShade="80"/>
          <w:sz w:val="28"/>
          <w:szCs w:val="28"/>
          <w:lang w:val="en"/>
        </w:rPr>
        <w:t xml:space="preserve">, mainly—on the criminal side—during </w:t>
      </w:r>
      <w:hyperlink r:id="rId8" w:tooltip="Criminal investigation" w:history="1">
        <w:r w:rsidRPr="00CD6EBA">
          <w:rPr>
            <w:rStyle w:val="Hyperlink"/>
            <w:color w:val="984806" w:themeColor="accent6" w:themeShade="80"/>
            <w:sz w:val="28"/>
            <w:szCs w:val="28"/>
            <w:u w:val="none"/>
            <w:lang w:val="en"/>
          </w:rPr>
          <w:t>criminal investigation</w:t>
        </w:r>
      </w:hyperlink>
      <w:r w:rsidRPr="00CD6EBA">
        <w:rPr>
          <w:color w:val="984806" w:themeColor="accent6" w:themeShade="80"/>
          <w:sz w:val="28"/>
          <w:szCs w:val="28"/>
          <w:lang w:val="en"/>
        </w:rPr>
        <w:t xml:space="preserve">, as governed by the legal standards of </w:t>
      </w:r>
      <w:hyperlink r:id="rId9" w:tooltip="Admissible evidence" w:history="1">
        <w:r w:rsidRPr="00CD6EBA">
          <w:rPr>
            <w:rStyle w:val="Hyperlink"/>
            <w:color w:val="984806" w:themeColor="accent6" w:themeShade="80"/>
            <w:sz w:val="28"/>
            <w:szCs w:val="28"/>
            <w:u w:val="none"/>
            <w:lang w:val="en"/>
          </w:rPr>
          <w:t>admissible evidence</w:t>
        </w:r>
      </w:hyperlink>
      <w:r w:rsidRPr="00CD6EBA">
        <w:rPr>
          <w:color w:val="984806" w:themeColor="accent6" w:themeShade="80"/>
          <w:sz w:val="28"/>
          <w:szCs w:val="28"/>
          <w:lang w:val="en"/>
        </w:rPr>
        <w:t xml:space="preserve"> and </w:t>
      </w:r>
      <w:hyperlink r:id="rId10" w:tooltip="Criminal procedure" w:history="1">
        <w:r w:rsidRPr="00CD6EBA">
          <w:rPr>
            <w:rStyle w:val="Hyperlink"/>
            <w:color w:val="984806" w:themeColor="accent6" w:themeShade="80"/>
            <w:sz w:val="28"/>
            <w:szCs w:val="28"/>
            <w:u w:val="none"/>
            <w:lang w:val="en"/>
          </w:rPr>
          <w:t>criminal procedure</w:t>
        </w:r>
      </w:hyperlink>
      <w:r w:rsidRPr="00CD6EBA">
        <w:rPr>
          <w:color w:val="984806" w:themeColor="accent6" w:themeShade="80"/>
          <w:sz w:val="28"/>
          <w:szCs w:val="28"/>
          <w:lang w:val="en"/>
        </w:rPr>
        <w:t>.</w:t>
      </w:r>
    </w:p>
    <w:p w:rsidR="00107CC1" w:rsidRPr="00CD6EBA" w:rsidRDefault="00107CC1" w:rsidP="00107CC1">
      <w:pPr>
        <w:pStyle w:val="NormalWeb"/>
        <w:rPr>
          <w:color w:val="984806" w:themeColor="accent6" w:themeShade="80"/>
          <w:sz w:val="28"/>
          <w:szCs w:val="28"/>
          <w:lang w:val="en"/>
        </w:rPr>
      </w:pPr>
      <w:r w:rsidRPr="00CD6EBA">
        <w:rPr>
          <w:color w:val="984806" w:themeColor="accent6" w:themeShade="80"/>
          <w:sz w:val="28"/>
          <w:szCs w:val="28"/>
          <w:lang w:val="en"/>
        </w:rPr>
        <w:t xml:space="preserve">Forensic scientists collect, preserve, and analyze scientific </w:t>
      </w:r>
      <w:hyperlink r:id="rId11" w:tooltip="Evidence" w:history="1">
        <w:r w:rsidRPr="00CD6EBA">
          <w:rPr>
            <w:rStyle w:val="Hyperlink"/>
            <w:color w:val="984806" w:themeColor="accent6" w:themeShade="80"/>
            <w:sz w:val="28"/>
            <w:szCs w:val="28"/>
            <w:u w:val="none"/>
            <w:lang w:val="en"/>
          </w:rPr>
          <w:t>evidence</w:t>
        </w:r>
      </w:hyperlink>
      <w:r w:rsidRPr="00CD6EBA">
        <w:rPr>
          <w:color w:val="984806" w:themeColor="accent6" w:themeShade="80"/>
          <w:sz w:val="28"/>
          <w:szCs w:val="28"/>
          <w:lang w:val="en"/>
        </w:rPr>
        <w:t xml:space="preserve"> during the course of an investigation. While some forensic scientists travel to the scene of the crime to collect the evidence themselves, others occupy a laboratory role, performing analysis on objects brought to them by other individuals</w:t>
      </w:r>
      <w:r w:rsidRPr="00CD6EBA">
        <w:rPr>
          <w:color w:val="984806" w:themeColor="accent6" w:themeShade="80"/>
          <w:sz w:val="28"/>
          <w:szCs w:val="28"/>
          <w:lang w:val="en"/>
        </w:rPr>
        <w:t>.</w:t>
      </w:r>
      <w:r w:rsidRPr="00CD6EBA">
        <w:rPr>
          <w:color w:val="984806" w:themeColor="accent6" w:themeShade="80"/>
          <w:sz w:val="28"/>
          <w:szCs w:val="28"/>
        </w:rPr>
        <w:t xml:space="preserve"> </w:t>
      </w:r>
    </w:p>
    <w:p w:rsidR="00107CC1" w:rsidRPr="00CD6EBA" w:rsidRDefault="00107CC1" w:rsidP="00107CC1">
      <w:pPr>
        <w:pStyle w:val="NormalWeb"/>
        <w:rPr>
          <w:color w:val="984806" w:themeColor="accent6" w:themeShade="80"/>
          <w:sz w:val="28"/>
          <w:szCs w:val="28"/>
          <w:lang w:val="en"/>
        </w:rPr>
      </w:pPr>
      <w:r w:rsidRPr="00CD6EBA">
        <w:rPr>
          <w:color w:val="984806" w:themeColor="accent6" w:themeShade="80"/>
          <w:sz w:val="28"/>
          <w:szCs w:val="28"/>
        </w:rPr>
        <w:drawing>
          <wp:inline distT="0" distB="0" distL="0" distR="0" wp14:anchorId="30BEBEEC" wp14:editId="20AF1E1B">
            <wp:extent cx="1634924" cy="1076325"/>
            <wp:effectExtent l="0" t="0" r="3810" b="0"/>
            <wp:docPr id="1" name="Picture 1" descr="https://upload.wikimedia.org/wikipedia/commons/thumb/4/4c/Punuk.Alaska.skulls.jpg/120px-Punuk.Alaska.skulls.jpg">
              <a:hlinkClick xmlns:a="http://schemas.openxmlformats.org/drawingml/2006/main" r:id="rId12" tooltip="&quot;File:Punuk.Alaska.skulls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c/Punuk.Alaska.skulls.jpg/120px-Punuk.Alaska.skulls.jpg">
                      <a:hlinkClick r:id="rId12" tooltip="&quot;File:Punuk.Alaska.skulls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27" cy="107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EBA">
        <w:rPr>
          <w:color w:val="984806" w:themeColor="accent6" w:themeShade="80"/>
          <w:sz w:val="28"/>
          <w:szCs w:val="28"/>
          <w:lang w:val="en"/>
        </w:rPr>
        <w:t xml:space="preserve">  </w:t>
      </w:r>
      <w:r w:rsidRPr="00CD6EBA">
        <w:rPr>
          <w:color w:val="984806" w:themeColor="accent6" w:themeShade="80"/>
          <w:sz w:val="28"/>
          <w:szCs w:val="28"/>
          <w:lang w:val="en"/>
        </w:rPr>
        <w:t xml:space="preserve">In addition to their laboratory role, forensic scientists testify as </w:t>
      </w:r>
      <w:hyperlink r:id="rId14" w:tooltip="Expert witness" w:history="1">
        <w:r w:rsidRPr="00CD6EBA">
          <w:rPr>
            <w:rStyle w:val="Hyperlink"/>
            <w:color w:val="984806" w:themeColor="accent6" w:themeShade="80"/>
            <w:sz w:val="28"/>
            <w:szCs w:val="28"/>
            <w:u w:val="none"/>
            <w:lang w:val="en"/>
          </w:rPr>
          <w:t>expert witnesses</w:t>
        </w:r>
      </w:hyperlink>
      <w:r w:rsidRPr="00CD6EBA">
        <w:rPr>
          <w:color w:val="984806" w:themeColor="accent6" w:themeShade="80"/>
          <w:sz w:val="28"/>
          <w:szCs w:val="28"/>
          <w:lang w:val="en"/>
        </w:rPr>
        <w:t xml:space="preserve"> in both criminal and civil cases and can work for either the </w:t>
      </w:r>
      <w:hyperlink r:id="rId15" w:tooltip="Prosecutor" w:history="1">
        <w:r w:rsidRPr="00CD6EBA">
          <w:rPr>
            <w:rStyle w:val="Hyperlink"/>
            <w:color w:val="984806" w:themeColor="accent6" w:themeShade="80"/>
            <w:sz w:val="28"/>
            <w:szCs w:val="28"/>
            <w:u w:val="none"/>
            <w:lang w:val="en"/>
          </w:rPr>
          <w:t>prosecution</w:t>
        </w:r>
      </w:hyperlink>
      <w:r w:rsidRPr="00CD6EBA">
        <w:rPr>
          <w:color w:val="984806" w:themeColor="accent6" w:themeShade="80"/>
          <w:sz w:val="28"/>
          <w:szCs w:val="28"/>
          <w:lang w:val="en"/>
        </w:rPr>
        <w:t xml:space="preserve"> or the defense. While any field could technically be </w:t>
      </w:r>
      <w:proofErr w:type="gramStart"/>
      <w:r w:rsidRPr="00CD6EBA">
        <w:rPr>
          <w:i/>
          <w:iCs/>
          <w:color w:val="984806" w:themeColor="accent6" w:themeShade="80"/>
          <w:sz w:val="28"/>
          <w:szCs w:val="28"/>
          <w:lang w:val="en"/>
        </w:rPr>
        <w:t>forensic</w:t>
      </w:r>
      <w:proofErr w:type="gramEnd"/>
      <w:r w:rsidRPr="00CD6EBA">
        <w:rPr>
          <w:color w:val="984806" w:themeColor="accent6" w:themeShade="80"/>
          <w:sz w:val="28"/>
          <w:szCs w:val="28"/>
          <w:lang w:val="en"/>
        </w:rPr>
        <w:t>, certain sections have developed over time to encompass the majority of forensically related cases.</w:t>
      </w:r>
    </w:p>
    <w:p w:rsidR="00107CC1" w:rsidRPr="00CD6EBA" w:rsidRDefault="00107CC1" w:rsidP="00107CC1">
      <w:pPr>
        <w:pStyle w:val="NormalWeb"/>
        <w:rPr>
          <w:color w:val="984806" w:themeColor="accent6" w:themeShade="80"/>
          <w:sz w:val="28"/>
          <w:szCs w:val="28"/>
          <w:lang w:val="en"/>
        </w:rPr>
      </w:pPr>
    </w:p>
    <w:p w:rsidR="00107CC1" w:rsidRPr="00CD6EBA" w:rsidRDefault="00107CC1" w:rsidP="00107CC1">
      <w:pPr>
        <w:rPr>
          <w:color w:val="984806" w:themeColor="accent6" w:themeShade="80"/>
          <w:sz w:val="24"/>
          <w:szCs w:val="24"/>
          <w:vertAlign w:val="superscript"/>
          <w:lang w:val="en"/>
        </w:rPr>
      </w:pPr>
      <w:r w:rsidRPr="00CD6EBA">
        <w:rPr>
          <w:color w:val="984806" w:themeColor="accent6" w:themeShade="80"/>
          <w:sz w:val="24"/>
          <w:szCs w:val="24"/>
          <w:lang w:val="en"/>
        </w:rPr>
        <w:t xml:space="preserve">In 16th-century Europe, medical practitioners in army and university settings began to gather information on the cause and </w:t>
      </w:r>
      <w:hyperlink r:id="rId16" w:tooltip="Manner of death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manner of death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. </w:t>
      </w:r>
      <w:hyperlink r:id="rId17" w:tooltip="Ambroise Paré" w:history="1">
        <w:proofErr w:type="spellStart"/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Ambroise</w:t>
        </w:r>
        <w:proofErr w:type="spellEnd"/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 xml:space="preserve"> </w:t>
        </w:r>
        <w:proofErr w:type="spellStart"/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Paré</w:t>
        </w:r>
        <w:proofErr w:type="spellEnd"/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, a French army </w:t>
      </w:r>
      <w:hyperlink r:id="rId18" w:tooltip="Surgery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surgeon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>, systematically studied the effects of violent death on internal organs.</w:t>
      </w:r>
    </w:p>
    <w:p w:rsidR="00107CC1" w:rsidRPr="00CD6EBA" w:rsidRDefault="00107CC1" w:rsidP="00107CC1">
      <w:pPr>
        <w:rPr>
          <w:color w:val="984806" w:themeColor="accent6" w:themeShade="80"/>
          <w:sz w:val="24"/>
          <w:szCs w:val="24"/>
          <w:vertAlign w:val="superscript"/>
          <w:lang w:val="en"/>
        </w:rPr>
      </w:pPr>
      <w:r w:rsidRPr="00CD6EBA">
        <w:rPr>
          <w:color w:val="984806" w:themeColor="accent6" w:themeShade="80"/>
          <w:sz w:val="24"/>
          <w:szCs w:val="24"/>
          <w:lang w:val="en"/>
        </w:rPr>
        <w:t xml:space="preserve"> Two </w:t>
      </w:r>
      <w:hyperlink r:id="rId19" w:tooltip="Italian people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Italian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surgeons, Fortunato Fidelis and Paolo </w:t>
      </w:r>
      <w:proofErr w:type="spellStart"/>
      <w:r w:rsidRPr="00CD6EBA">
        <w:rPr>
          <w:color w:val="984806" w:themeColor="accent6" w:themeShade="80"/>
          <w:sz w:val="24"/>
          <w:szCs w:val="24"/>
          <w:lang w:val="en"/>
        </w:rPr>
        <w:t>Zacchia</w:t>
      </w:r>
      <w:proofErr w:type="spellEnd"/>
      <w:r w:rsidRPr="00CD6EBA">
        <w:rPr>
          <w:color w:val="984806" w:themeColor="accent6" w:themeShade="80"/>
          <w:sz w:val="24"/>
          <w:szCs w:val="24"/>
          <w:lang w:val="en"/>
        </w:rPr>
        <w:t xml:space="preserve">, laid the foundation of modern </w:t>
      </w:r>
      <w:hyperlink r:id="rId20" w:tooltip="Pathology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pathology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by studying changes that occurred in the structure of the body as the result of disease.</w:t>
      </w:r>
      <w:r w:rsidRPr="00CD6EBA">
        <w:rPr>
          <w:color w:val="984806" w:themeColor="accent6" w:themeShade="80"/>
          <w:sz w:val="24"/>
          <w:szCs w:val="24"/>
          <w:vertAlign w:val="superscript"/>
          <w:lang w:val="en"/>
        </w:rPr>
        <w:t xml:space="preserve"> </w:t>
      </w:r>
      <w:r w:rsidRPr="00CD6EBA">
        <w:rPr>
          <w:color w:val="984806" w:themeColor="accent6" w:themeShade="80"/>
          <w:sz w:val="24"/>
          <w:szCs w:val="24"/>
          <w:lang w:val="en"/>
        </w:rPr>
        <w:t xml:space="preserve"> In the late 18th century, writings on these topics began to appear. These included </w:t>
      </w:r>
      <w:r w:rsidRPr="00CD6EBA">
        <w:rPr>
          <w:i/>
          <w:iCs/>
          <w:color w:val="984806" w:themeColor="accent6" w:themeShade="80"/>
          <w:sz w:val="24"/>
          <w:szCs w:val="24"/>
          <w:lang w:val="en"/>
        </w:rPr>
        <w:t>A Treatise on Forensic Medicine and Public Health</w:t>
      </w:r>
      <w:r w:rsidRPr="00CD6EBA">
        <w:rPr>
          <w:color w:val="984806" w:themeColor="accent6" w:themeShade="80"/>
          <w:sz w:val="24"/>
          <w:szCs w:val="24"/>
          <w:lang w:val="en"/>
        </w:rPr>
        <w:t xml:space="preserve"> by the French physician </w:t>
      </w:r>
      <w:hyperlink r:id="rId21" w:tooltip="Francois Immanuele Fodéré (page does not exist)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 xml:space="preserve">Francois </w:t>
        </w:r>
        <w:proofErr w:type="spellStart"/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Immanuele</w:t>
        </w:r>
        <w:proofErr w:type="spellEnd"/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 xml:space="preserve"> </w:t>
        </w:r>
        <w:proofErr w:type="spellStart"/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Fodéré</w:t>
        </w:r>
        <w:proofErr w:type="spellEnd"/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and </w:t>
      </w:r>
      <w:r w:rsidRPr="00CD6EBA">
        <w:rPr>
          <w:i/>
          <w:iCs/>
          <w:color w:val="984806" w:themeColor="accent6" w:themeShade="80"/>
          <w:sz w:val="24"/>
          <w:szCs w:val="24"/>
          <w:lang w:val="en"/>
        </w:rPr>
        <w:t>The Complete System of Police Medicine</w:t>
      </w:r>
      <w:r w:rsidRPr="00CD6EBA">
        <w:rPr>
          <w:color w:val="984806" w:themeColor="accent6" w:themeShade="80"/>
          <w:sz w:val="24"/>
          <w:szCs w:val="24"/>
          <w:lang w:val="en"/>
        </w:rPr>
        <w:t xml:space="preserve"> by the German medical expert </w:t>
      </w:r>
      <w:hyperlink r:id="rId22" w:tooltip="Johann Peter Frank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Johann Peter Frank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>.</w:t>
      </w:r>
    </w:p>
    <w:p w:rsidR="00107CC1" w:rsidRPr="00CD6EBA" w:rsidRDefault="00107CC1" w:rsidP="00107CC1">
      <w:pPr>
        <w:rPr>
          <w:color w:val="984806" w:themeColor="accent6" w:themeShade="80"/>
          <w:sz w:val="24"/>
          <w:szCs w:val="24"/>
          <w:lang w:val="en"/>
        </w:rPr>
      </w:pPr>
      <w:r w:rsidRPr="00CD6EBA">
        <w:rPr>
          <w:color w:val="984806" w:themeColor="accent6" w:themeShade="80"/>
          <w:sz w:val="24"/>
          <w:szCs w:val="24"/>
          <w:lang w:val="en"/>
        </w:rPr>
        <w:t xml:space="preserve">As the rational values of the </w:t>
      </w:r>
      <w:hyperlink r:id="rId23" w:tooltip="Enlightenment era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Enlightenment era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increasingly permeated society in the 18th century, criminal investigation became a more evidence-based, rational procedure − the use of torture to force confessions was curtailed, and belief in witchcraft and other powers of the </w:t>
      </w:r>
      <w:hyperlink r:id="rId24" w:tooltip="Occult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occult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largely ceased to influence the court's decisions. Two examples of English forensic </w:t>
      </w:r>
      <w:r w:rsidRPr="00CD6EBA">
        <w:rPr>
          <w:color w:val="984806" w:themeColor="accent6" w:themeShade="80"/>
          <w:sz w:val="24"/>
          <w:szCs w:val="24"/>
          <w:lang w:val="en"/>
        </w:rPr>
        <w:lastRenderedPageBreak/>
        <w:t xml:space="preserve">science in individual legal proceedings demonstrate the increasing use of </w:t>
      </w:r>
      <w:hyperlink r:id="rId25" w:tooltip="Logic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logic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and </w:t>
      </w:r>
      <w:hyperlink r:id="rId26" w:tooltip="Procedure (term)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procedure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in criminal investigations at the time. In 1784, in </w:t>
      </w:r>
      <w:hyperlink r:id="rId27" w:tooltip="Lancaster, Lancashire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Lancaster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, John Toms was tried and convicted for murdering Edward </w:t>
      </w:r>
      <w:proofErr w:type="spellStart"/>
      <w:r w:rsidRPr="00CD6EBA">
        <w:rPr>
          <w:color w:val="984806" w:themeColor="accent6" w:themeShade="80"/>
          <w:sz w:val="24"/>
          <w:szCs w:val="24"/>
          <w:lang w:val="en"/>
        </w:rPr>
        <w:t>Culshaw</w:t>
      </w:r>
      <w:proofErr w:type="spellEnd"/>
      <w:r w:rsidRPr="00CD6EBA">
        <w:rPr>
          <w:color w:val="984806" w:themeColor="accent6" w:themeShade="80"/>
          <w:sz w:val="24"/>
          <w:szCs w:val="24"/>
          <w:lang w:val="en"/>
        </w:rPr>
        <w:t xml:space="preserve"> with a </w:t>
      </w:r>
      <w:hyperlink r:id="rId28" w:tooltip="Pistol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pistol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. When the dead body of </w:t>
      </w:r>
      <w:proofErr w:type="spellStart"/>
      <w:r w:rsidRPr="00CD6EBA">
        <w:rPr>
          <w:color w:val="984806" w:themeColor="accent6" w:themeShade="80"/>
          <w:sz w:val="24"/>
          <w:szCs w:val="24"/>
          <w:lang w:val="en"/>
        </w:rPr>
        <w:t>Culshaw</w:t>
      </w:r>
      <w:proofErr w:type="spellEnd"/>
      <w:r w:rsidRPr="00CD6EBA">
        <w:rPr>
          <w:color w:val="984806" w:themeColor="accent6" w:themeShade="80"/>
          <w:sz w:val="24"/>
          <w:szCs w:val="24"/>
          <w:lang w:val="en"/>
        </w:rPr>
        <w:t xml:space="preserve"> was examined, a pistol wad (crushed paper used to secure powder and balls in the muzzle) found in his head wound matched perfectly with a torn newspaper found in </w:t>
      </w:r>
      <w:proofErr w:type="spellStart"/>
      <w:r w:rsidRPr="00CD6EBA">
        <w:rPr>
          <w:color w:val="984806" w:themeColor="accent6" w:themeShade="80"/>
          <w:sz w:val="24"/>
          <w:szCs w:val="24"/>
          <w:lang w:val="en"/>
        </w:rPr>
        <w:t>Toms's</w:t>
      </w:r>
      <w:proofErr w:type="spellEnd"/>
      <w:r w:rsidRPr="00CD6EBA">
        <w:rPr>
          <w:color w:val="984806" w:themeColor="accent6" w:themeShade="80"/>
          <w:sz w:val="24"/>
          <w:szCs w:val="24"/>
          <w:lang w:val="en"/>
        </w:rPr>
        <w:t xml:space="preserve"> pocket, </w:t>
      </w:r>
      <w:proofErr w:type="gramStart"/>
      <w:r w:rsidRPr="00CD6EBA">
        <w:rPr>
          <w:color w:val="984806" w:themeColor="accent6" w:themeShade="80"/>
          <w:sz w:val="24"/>
          <w:szCs w:val="24"/>
          <w:lang w:val="en"/>
        </w:rPr>
        <w:t>leading</w:t>
      </w:r>
      <w:proofErr w:type="gramEnd"/>
      <w:r w:rsidRPr="00CD6EBA">
        <w:rPr>
          <w:color w:val="984806" w:themeColor="accent6" w:themeShade="80"/>
          <w:sz w:val="24"/>
          <w:szCs w:val="24"/>
          <w:lang w:val="en"/>
        </w:rPr>
        <w:t xml:space="preserve"> to the conviction.</w:t>
      </w:r>
    </w:p>
    <w:p w:rsidR="00107CC1" w:rsidRPr="00CD6EBA" w:rsidRDefault="00107CC1" w:rsidP="00107CC1">
      <w:pPr>
        <w:rPr>
          <w:color w:val="984806" w:themeColor="accent6" w:themeShade="80"/>
          <w:sz w:val="24"/>
          <w:szCs w:val="24"/>
          <w:lang w:val="en"/>
        </w:rPr>
      </w:pPr>
      <w:r w:rsidRPr="00CD6EBA">
        <w:rPr>
          <w:color w:val="984806" w:themeColor="accent6" w:themeShade="80"/>
          <w:sz w:val="24"/>
          <w:szCs w:val="24"/>
          <w:lang w:val="en"/>
        </w:rPr>
        <w:t xml:space="preserve">In </w:t>
      </w:r>
      <w:hyperlink r:id="rId29" w:tooltip="Warwick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Warwick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1816, a farm laborer was tried and convicted of the murder of a young maidservant. She had been drowned in a shallow pool and bore the marks of violent assault. The police found footprints and an impression from corduroy cloth with a sewn patch in the damp earth near the pool. There were also scattered grains of </w:t>
      </w:r>
      <w:hyperlink r:id="rId30" w:tooltip="Wheat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wheat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and chaff. The breeches of a farm </w:t>
      </w:r>
      <w:proofErr w:type="spellStart"/>
      <w:r w:rsidRPr="00CD6EBA">
        <w:rPr>
          <w:color w:val="984806" w:themeColor="accent6" w:themeShade="80"/>
          <w:sz w:val="24"/>
          <w:szCs w:val="24"/>
          <w:lang w:val="en"/>
        </w:rPr>
        <w:t>labourer</w:t>
      </w:r>
      <w:proofErr w:type="spellEnd"/>
      <w:r w:rsidRPr="00CD6EBA">
        <w:rPr>
          <w:color w:val="984806" w:themeColor="accent6" w:themeShade="80"/>
          <w:sz w:val="24"/>
          <w:szCs w:val="24"/>
          <w:lang w:val="en"/>
        </w:rPr>
        <w:t xml:space="preserve"> who had been threshing wheat nearby were examined and corresponded exactly to the impression in the earth near the pool.</w:t>
      </w:r>
    </w:p>
    <w:p w:rsidR="00107CC1" w:rsidRPr="00CD6EBA" w:rsidRDefault="00107CC1" w:rsidP="00107CC1">
      <w:pPr>
        <w:rPr>
          <w:color w:val="984806" w:themeColor="accent6" w:themeShade="80"/>
          <w:sz w:val="24"/>
          <w:szCs w:val="24"/>
          <w:lang w:val="en"/>
        </w:rPr>
      </w:pPr>
      <w:r w:rsidRPr="00CD6EBA">
        <w:rPr>
          <w:color w:val="984806" w:themeColor="accent6" w:themeShade="80"/>
          <w:sz w:val="24"/>
          <w:szCs w:val="24"/>
          <w:lang w:val="en"/>
        </w:rPr>
        <w:t xml:space="preserve">Sir </w:t>
      </w:r>
      <w:hyperlink r:id="rId31" w:tooltip="Sir William Herschel, 2nd Baronet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William Herschel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was one of the first to advocate the use of fingerprinting in the identification of criminal suspects. While working for the </w:t>
      </w:r>
      <w:hyperlink r:id="rId32" w:tooltip="Indian Civil Service (British India)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Indian Civil Service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>, he began to use thumbprints on documents as a security measure to prevent the then-rampant repudiation of signatures in 1858.</w:t>
      </w:r>
    </w:p>
    <w:p w:rsidR="00107CC1" w:rsidRPr="00CD6EBA" w:rsidRDefault="00107CC1" w:rsidP="00107CC1">
      <w:pPr>
        <w:rPr>
          <w:color w:val="984806" w:themeColor="accent6" w:themeShade="80"/>
          <w:sz w:val="24"/>
          <w:szCs w:val="24"/>
          <w:lang w:val="en"/>
        </w:rPr>
      </w:pPr>
      <w:r w:rsidRPr="00CD6EBA">
        <w:rPr>
          <w:color w:val="984806" w:themeColor="accent6" w:themeShade="80"/>
          <w:sz w:val="24"/>
          <w:szCs w:val="24"/>
        </w:rPr>
        <w:drawing>
          <wp:inline distT="0" distB="0" distL="0" distR="0" wp14:anchorId="44D6EDCA" wp14:editId="046D426B">
            <wp:extent cx="2095500" cy="1085850"/>
            <wp:effectExtent l="0" t="0" r="0" b="0"/>
            <wp:docPr id="3" name="Picture 3" descr="https://upload.wikimedia.org/wikipedia/commons/thumb/1/1b/Fingerprints_taken_by_William_James_Herschel_1859-1860.jpg/220px-Fingerprints_taken_by_William_James_Herschel_1859-1860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1/1b/Fingerprints_taken_by_William_James_Herschel_1859-1860.jpg/220px-Fingerprints_taken_by_William_James_Herschel_1859-1860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1" w:rsidRPr="00CD6EBA" w:rsidRDefault="00107CC1" w:rsidP="00107CC1">
      <w:pPr>
        <w:rPr>
          <w:color w:val="984806" w:themeColor="accent6" w:themeShade="80"/>
          <w:sz w:val="24"/>
          <w:szCs w:val="24"/>
          <w:lang w:val="en"/>
        </w:rPr>
      </w:pPr>
      <w:proofErr w:type="gramStart"/>
      <w:r w:rsidRPr="00CD6EBA">
        <w:rPr>
          <w:color w:val="984806" w:themeColor="accent6" w:themeShade="80"/>
          <w:sz w:val="24"/>
          <w:szCs w:val="24"/>
          <w:lang w:val="en"/>
        </w:rPr>
        <w:t xml:space="preserve">Fingerprints taken by </w:t>
      </w:r>
      <w:hyperlink r:id="rId35" w:tooltip="William Herschel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William Herschel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1859/60.</w:t>
      </w:r>
      <w:proofErr w:type="gramEnd"/>
    </w:p>
    <w:p w:rsidR="00CD6EBA" w:rsidRPr="00CD6EBA" w:rsidRDefault="00107CC1" w:rsidP="00CD6EBA">
      <w:pPr>
        <w:rPr>
          <w:color w:val="984806" w:themeColor="accent6" w:themeShade="80"/>
          <w:sz w:val="24"/>
          <w:szCs w:val="24"/>
          <w:lang w:val="en"/>
        </w:rPr>
      </w:pPr>
      <w:r w:rsidRPr="00CD6EBA">
        <w:rPr>
          <w:color w:val="984806" w:themeColor="accent6" w:themeShade="80"/>
          <w:sz w:val="24"/>
          <w:szCs w:val="24"/>
          <w:lang w:val="en"/>
        </w:rPr>
        <w:t xml:space="preserve">In 1877 at Hooghly (near Calcutta), Herschel instituted the use of fingerprints on contracts and deeds, and he registered government pensioners' fingerprints to prevent the collection of money by relatives after a pensioner's death. </w:t>
      </w:r>
      <w:r w:rsidR="00CD6EBA" w:rsidRPr="00CD6EBA">
        <w:rPr>
          <w:color w:val="984806" w:themeColor="accent6" w:themeShade="80"/>
          <w:sz w:val="24"/>
          <w:szCs w:val="24"/>
          <w:lang w:val="en"/>
        </w:rPr>
        <w:t xml:space="preserve">      </w:t>
      </w:r>
    </w:p>
    <w:p w:rsidR="00107CC1" w:rsidRPr="00CD6EBA" w:rsidRDefault="00CD6EBA" w:rsidP="00CD6EBA">
      <w:pPr>
        <w:rPr>
          <w:color w:val="984806" w:themeColor="accent6" w:themeShade="80"/>
          <w:sz w:val="24"/>
          <w:szCs w:val="24"/>
          <w:lang w:val="en"/>
        </w:rPr>
      </w:pPr>
      <w:r w:rsidRPr="00CD6EBA">
        <w:rPr>
          <w:color w:val="984806" w:themeColor="accent6" w:themeShade="80"/>
          <w:sz w:val="24"/>
          <w:szCs w:val="24"/>
          <w:lang w:val="en"/>
        </w:rPr>
        <w:t xml:space="preserve">   </w:t>
      </w:r>
      <w:r w:rsidR="00107CC1" w:rsidRPr="00CD6EBA">
        <w:rPr>
          <w:color w:val="984806" w:themeColor="accent6" w:themeShade="80"/>
          <w:sz w:val="24"/>
          <w:szCs w:val="24"/>
          <w:lang w:val="en"/>
        </w:rPr>
        <w:t xml:space="preserve">In 1880, Dr. </w:t>
      </w:r>
      <w:hyperlink r:id="rId36" w:tooltip="Henry Faulds" w:history="1">
        <w:r w:rsidR="00107CC1"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 xml:space="preserve">Henry </w:t>
        </w:r>
        <w:proofErr w:type="spellStart"/>
        <w:r w:rsidR="00107CC1"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Faulds</w:t>
        </w:r>
        <w:proofErr w:type="spellEnd"/>
      </w:hyperlink>
      <w:r w:rsidR="00107CC1" w:rsidRPr="00CD6EBA">
        <w:rPr>
          <w:color w:val="984806" w:themeColor="accent6" w:themeShade="80"/>
          <w:sz w:val="24"/>
          <w:szCs w:val="24"/>
          <w:lang w:val="en"/>
        </w:rPr>
        <w:t xml:space="preserve">, a Scottish surgeon in a </w:t>
      </w:r>
      <w:hyperlink r:id="rId37" w:tooltip="Tokyo" w:history="1">
        <w:r w:rsidR="00107CC1"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Tokyo</w:t>
        </w:r>
      </w:hyperlink>
      <w:r w:rsidR="00107CC1" w:rsidRPr="00CD6EBA">
        <w:rPr>
          <w:color w:val="984806" w:themeColor="accent6" w:themeShade="80"/>
          <w:sz w:val="24"/>
          <w:szCs w:val="24"/>
          <w:lang w:val="en"/>
        </w:rPr>
        <w:t xml:space="preserve"> hospital, published his first paper on the subject in the scientific journal </w:t>
      </w:r>
      <w:hyperlink r:id="rId38" w:tooltip="Nature (journal)" w:history="1">
        <w:r w:rsidR="00107CC1" w:rsidRPr="00CD6EBA">
          <w:rPr>
            <w:rStyle w:val="Hyperlink"/>
            <w:i/>
            <w:iCs/>
            <w:color w:val="984806" w:themeColor="accent6" w:themeShade="80"/>
            <w:sz w:val="24"/>
            <w:szCs w:val="24"/>
            <w:u w:val="none"/>
            <w:lang w:val="en"/>
          </w:rPr>
          <w:t>Nature</w:t>
        </w:r>
      </w:hyperlink>
      <w:r w:rsidR="00107CC1" w:rsidRPr="00CD6EBA">
        <w:rPr>
          <w:color w:val="984806" w:themeColor="accent6" w:themeShade="80"/>
          <w:sz w:val="24"/>
          <w:szCs w:val="24"/>
          <w:lang w:val="en"/>
        </w:rPr>
        <w:t xml:space="preserve">, discussing the usefulness of fingerprints for identification and proposing a method to record them with printing ink. He established their first classification and was also the first to identify fingerprints left on a vial. Returning to the UK in 1886, he offered the concept to the </w:t>
      </w:r>
      <w:hyperlink r:id="rId39" w:tooltip="Metropolitan Police" w:history="1">
        <w:r w:rsidR="00107CC1"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Metropolitan Police</w:t>
        </w:r>
      </w:hyperlink>
      <w:r w:rsidR="00107CC1" w:rsidRPr="00CD6EBA">
        <w:rPr>
          <w:color w:val="984806" w:themeColor="accent6" w:themeShade="80"/>
          <w:sz w:val="24"/>
          <w:szCs w:val="24"/>
          <w:lang w:val="en"/>
        </w:rPr>
        <w:t xml:space="preserve"> in London, but it was dismissed at that time. </w:t>
      </w:r>
    </w:p>
    <w:p w:rsidR="00CD6EBA" w:rsidRPr="00CD6EBA" w:rsidRDefault="00107CC1" w:rsidP="00CD6EBA">
      <w:pPr>
        <w:rPr>
          <w:color w:val="984806" w:themeColor="accent6" w:themeShade="80"/>
          <w:sz w:val="24"/>
          <w:szCs w:val="24"/>
          <w:lang w:val="en"/>
        </w:rPr>
      </w:pPr>
      <w:proofErr w:type="spellStart"/>
      <w:r w:rsidRPr="00CD6EBA">
        <w:rPr>
          <w:color w:val="984806" w:themeColor="accent6" w:themeShade="80"/>
          <w:sz w:val="24"/>
          <w:szCs w:val="24"/>
          <w:lang w:val="en"/>
        </w:rPr>
        <w:t>Faulds</w:t>
      </w:r>
      <w:proofErr w:type="spellEnd"/>
      <w:r w:rsidRPr="00CD6EBA">
        <w:rPr>
          <w:color w:val="984806" w:themeColor="accent6" w:themeShade="80"/>
          <w:sz w:val="24"/>
          <w:szCs w:val="24"/>
          <w:lang w:val="en"/>
        </w:rPr>
        <w:t xml:space="preserve"> wrote to </w:t>
      </w:r>
      <w:hyperlink r:id="rId40" w:tooltip="Charles Darwin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Charles Darwin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with a description of his method, but, too old and ill to work on it, Darwin gave the information to his cousin, </w:t>
      </w:r>
      <w:hyperlink r:id="rId41" w:tooltip="Francis Galton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Francis Galton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, who was interested in anthropology. Having been thus inspired to study fingerprints for ten years, Galton published a </w:t>
      </w:r>
      <w:r w:rsidRPr="00CD6EBA">
        <w:rPr>
          <w:color w:val="984806" w:themeColor="accent6" w:themeShade="80"/>
          <w:sz w:val="24"/>
          <w:szCs w:val="24"/>
          <w:lang w:val="en"/>
        </w:rPr>
        <w:lastRenderedPageBreak/>
        <w:t xml:space="preserve">detailed statistical model of fingerprint analysis and identification and encouraged its use in forensic science in his book </w:t>
      </w:r>
      <w:r w:rsidRPr="00CD6EBA">
        <w:rPr>
          <w:i/>
          <w:iCs/>
          <w:color w:val="984806" w:themeColor="accent6" w:themeShade="80"/>
          <w:sz w:val="24"/>
          <w:szCs w:val="24"/>
          <w:lang w:val="en"/>
        </w:rPr>
        <w:t>Finger Prints</w:t>
      </w:r>
      <w:r w:rsidRPr="00CD6EBA">
        <w:rPr>
          <w:color w:val="984806" w:themeColor="accent6" w:themeShade="80"/>
          <w:sz w:val="24"/>
          <w:szCs w:val="24"/>
          <w:lang w:val="en"/>
        </w:rPr>
        <w:t xml:space="preserve">. </w:t>
      </w:r>
    </w:p>
    <w:p w:rsidR="00CD6EBA" w:rsidRPr="00CD6EBA" w:rsidRDefault="00107CC1" w:rsidP="00CD6EBA">
      <w:pPr>
        <w:rPr>
          <w:color w:val="984806" w:themeColor="accent6" w:themeShade="80"/>
          <w:sz w:val="24"/>
          <w:szCs w:val="24"/>
          <w:lang w:val="en"/>
        </w:rPr>
      </w:pPr>
      <w:r w:rsidRPr="00CD6EBA">
        <w:rPr>
          <w:color w:val="984806" w:themeColor="accent6" w:themeShade="80"/>
          <w:sz w:val="24"/>
          <w:szCs w:val="24"/>
          <w:lang w:val="en"/>
        </w:rPr>
        <w:t>He had calculated that the chance of a "false positive" (two different individuals having the same fingerprints) was about 1 in 64 billion.</w:t>
      </w:r>
      <w:r w:rsidR="00CD6EBA" w:rsidRPr="00CD6EBA">
        <w:rPr>
          <w:color w:val="984806" w:themeColor="accent6" w:themeShade="80"/>
          <w:sz w:val="24"/>
          <w:szCs w:val="24"/>
          <w:lang w:val="en"/>
        </w:rPr>
        <w:t xml:space="preserve">    </w:t>
      </w:r>
    </w:p>
    <w:p w:rsidR="00107CC1" w:rsidRPr="00CD6EBA" w:rsidRDefault="00CD6EBA" w:rsidP="00CD6EBA">
      <w:pPr>
        <w:rPr>
          <w:color w:val="984806" w:themeColor="accent6" w:themeShade="80"/>
          <w:sz w:val="24"/>
          <w:szCs w:val="24"/>
          <w:lang w:val="en"/>
        </w:rPr>
      </w:pPr>
      <w:r w:rsidRPr="00CD6EBA">
        <w:rPr>
          <w:color w:val="984806" w:themeColor="accent6" w:themeShade="80"/>
          <w:sz w:val="24"/>
          <w:szCs w:val="24"/>
          <w:lang w:val="en"/>
        </w:rPr>
        <w:t xml:space="preserve"> </w:t>
      </w:r>
      <w:hyperlink r:id="rId42" w:tooltip="Juan Vucetich" w:history="1">
        <w:r w:rsidR="00107CC1"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 xml:space="preserve">Juan </w:t>
        </w:r>
        <w:proofErr w:type="spellStart"/>
        <w:r w:rsidR="00107CC1"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Vucetich</w:t>
        </w:r>
        <w:proofErr w:type="spellEnd"/>
      </w:hyperlink>
      <w:r w:rsidR="00107CC1" w:rsidRPr="00CD6EBA">
        <w:rPr>
          <w:color w:val="984806" w:themeColor="accent6" w:themeShade="80"/>
          <w:sz w:val="24"/>
          <w:szCs w:val="24"/>
          <w:lang w:val="en"/>
        </w:rPr>
        <w:t xml:space="preserve">, an Argentine chief police officer, created the first method of recording the fingerprints of individuals on file. In 1892, after studying Galton's pattern types, </w:t>
      </w:r>
      <w:proofErr w:type="spellStart"/>
      <w:r w:rsidR="00107CC1" w:rsidRPr="00CD6EBA">
        <w:rPr>
          <w:color w:val="984806" w:themeColor="accent6" w:themeShade="80"/>
          <w:sz w:val="24"/>
          <w:szCs w:val="24"/>
          <w:lang w:val="en"/>
        </w:rPr>
        <w:t>Vucetich</w:t>
      </w:r>
      <w:proofErr w:type="spellEnd"/>
      <w:r w:rsidR="00107CC1" w:rsidRPr="00CD6EBA">
        <w:rPr>
          <w:color w:val="984806" w:themeColor="accent6" w:themeShade="80"/>
          <w:sz w:val="24"/>
          <w:szCs w:val="24"/>
          <w:lang w:val="en"/>
        </w:rPr>
        <w:t xml:space="preserve"> set up the world's first fingerprint bureau. In that same year, Francisca Rojas of </w:t>
      </w:r>
      <w:hyperlink r:id="rId43" w:tooltip="Necochea" w:history="1">
        <w:proofErr w:type="spellStart"/>
        <w:r w:rsidR="00107CC1"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Necochea</w:t>
        </w:r>
        <w:proofErr w:type="spellEnd"/>
      </w:hyperlink>
      <w:r w:rsidR="00107CC1" w:rsidRPr="00CD6EBA">
        <w:rPr>
          <w:color w:val="984806" w:themeColor="accent6" w:themeShade="80"/>
          <w:sz w:val="24"/>
          <w:szCs w:val="24"/>
          <w:lang w:val="en"/>
        </w:rPr>
        <w:t xml:space="preserve"> was found in a house with neck injuries whilst her two sons were found dead with their throats cut. Rojas accused a </w:t>
      </w:r>
      <w:proofErr w:type="spellStart"/>
      <w:r w:rsidR="00107CC1" w:rsidRPr="00CD6EBA">
        <w:rPr>
          <w:color w:val="984806" w:themeColor="accent6" w:themeShade="80"/>
          <w:sz w:val="24"/>
          <w:szCs w:val="24"/>
          <w:lang w:val="en"/>
        </w:rPr>
        <w:t>neighbour</w:t>
      </w:r>
      <w:proofErr w:type="spellEnd"/>
      <w:r w:rsidR="00107CC1" w:rsidRPr="00CD6EBA">
        <w:rPr>
          <w:color w:val="984806" w:themeColor="accent6" w:themeShade="80"/>
          <w:sz w:val="24"/>
          <w:szCs w:val="24"/>
          <w:lang w:val="en"/>
        </w:rPr>
        <w:t xml:space="preserve">, but despite brutal interrogation, this </w:t>
      </w:r>
      <w:proofErr w:type="spellStart"/>
      <w:r w:rsidR="00107CC1" w:rsidRPr="00CD6EBA">
        <w:rPr>
          <w:color w:val="984806" w:themeColor="accent6" w:themeShade="80"/>
          <w:sz w:val="24"/>
          <w:szCs w:val="24"/>
          <w:lang w:val="en"/>
        </w:rPr>
        <w:t>neighbour</w:t>
      </w:r>
      <w:proofErr w:type="spellEnd"/>
      <w:r w:rsidR="00107CC1" w:rsidRPr="00CD6EBA">
        <w:rPr>
          <w:color w:val="984806" w:themeColor="accent6" w:themeShade="80"/>
          <w:sz w:val="24"/>
          <w:szCs w:val="24"/>
          <w:lang w:val="en"/>
        </w:rPr>
        <w:t xml:space="preserve"> would not confess to the crimes. Inspector Alvarez, a colleague of </w:t>
      </w:r>
      <w:proofErr w:type="spellStart"/>
      <w:r w:rsidR="00107CC1" w:rsidRPr="00CD6EBA">
        <w:rPr>
          <w:color w:val="984806" w:themeColor="accent6" w:themeShade="80"/>
          <w:sz w:val="24"/>
          <w:szCs w:val="24"/>
          <w:lang w:val="en"/>
        </w:rPr>
        <w:t>Vucetich</w:t>
      </w:r>
      <w:proofErr w:type="spellEnd"/>
      <w:r w:rsidR="00107CC1" w:rsidRPr="00CD6EBA">
        <w:rPr>
          <w:color w:val="984806" w:themeColor="accent6" w:themeShade="80"/>
          <w:sz w:val="24"/>
          <w:szCs w:val="24"/>
          <w:lang w:val="en"/>
        </w:rPr>
        <w:t>, went to the scene and found a bloody thumb mark on a door. When it was compared with Rojas' prints, it was found to be identical with her right thumb. She then confessed to the murder of her sons.</w:t>
      </w:r>
    </w:p>
    <w:p w:rsidR="00CD6EBA" w:rsidRPr="00CD6EBA" w:rsidRDefault="00107CC1" w:rsidP="00CD6EBA">
      <w:pPr>
        <w:rPr>
          <w:color w:val="984806" w:themeColor="accent6" w:themeShade="80"/>
          <w:sz w:val="24"/>
          <w:szCs w:val="24"/>
          <w:vertAlign w:val="superscript"/>
          <w:lang w:val="en"/>
        </w:rPr>
      </w:pPr>
      <w:r w:rsidRPr="00CD6EBA">
        <w:rPr>
          <w:color w:val="984806" w:themeColor="accent6" w:themeShade="80"/>
          <w:sz w:val="24"/>
          <w:szCs w:val="24"/>
          <w:lang w:val="en"/>
        </w:rPr>
        <w:t>A Fingerprint Bureau was established in Calcutta (</w:t>
      </w:r>
      <w:hyperlink r:id="rId44" w:tooltip="Kolkata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Kolkata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), India, in 1897, after the Council of the Governor General approved a committee report that fingerprints should be used for the classification of criminal records. Working in the Calcutta Anthropometric Bureau, before it became the Fingerprint Bureau, were </w:t>
      </w:r>
      <w:hyperlink r:id="rId45" w:tooltip="Azizul Haque (police officer)" w:history="1">
        <w:proofErr w:type="spellStart"/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Azizul</w:t>
        </w:r>
        <w:proofErr w:type="spellEnd"/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 xml:space="preserve"> </w:t>
        </w:r>
        <w:proofErr w:type="spellStart"/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Haque</w:t>
        </w:r>
        <w:proofErr w:type="spellEnd"/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and </w:t>
      </w:r>
      <w:hyperlink r:id="rId46" w:tooltip="Hem Chandra Bose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Hem Chandra Bose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. </w:t>
      </w:r>
      <w:proofErr w:type="spellStart"/>
      <w:r w:rsidRPr="00CD6EBA">
        <w:rPr>
          <w:color w:val="984806" w:themeColor="accent6" w:themeShade="80"/>
          <w:sz w:val="24"/>
          <w:szCs w:val="24"/>
          <w:lang w:val="en"/>
        </w:rPr>
        <w:t>Haque</w:t>
      </w:r>
      <w:proofErr w:type="spellEnd"/>
      <w:r w:rsidRPr="00CD6EBA">
        <w:rPr>
          <w:color w:val="984806" w:themeColor="accent6" w:themeShade="80"/>
          <w:sz w:val="24"/>
          <w:szCs w:val="24"/>
          <w:lang w:val="en"/>
        </w:rPr>
        <w:t xml:space="preserve"> and Bose were Indian fingerprint experts who have been credited with the primary development of a fingerprint classification system eventually named after their supervisor, </w:t>
      </w:r>
      <w:hyperlink r:id="rId47" w:tooltip="Edward Henry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Sir Edward Richard Henry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>.</w:t>
      </w:r>
    </w:p>
    <w:p w:rsidR="00107CC1" w:rsidRPr="00CD6EBA" w:rsidRDefault="00107CC1" w:rsidP="00CD6EBA">
      <w:pPr>
        <w:rPr>
          <w:color w:val="984806" w:themeColor="accent6" w:themeShade="80"/>
          <w:sz w:val="24"/>
          <w:szCs w:val="24"/>
          <w:lang w:val="en"/>
        </w:rPr>
      </w:pPr>
      <w:r w:rsidRPr="00CD6EBA">
        <w:rPr>
          <w:color w:val="984806" w:themeColor="accent6" w:themeShade="80"/>
          <w:sz w:val="24"/>
          <w:szCs w:val="24"/>
          <w:lang w:val="en"/>
        </w:rPr>
        <w:t xml:space="preserve"> The </w:t>
      </w:r>
      <w:hyperlink r:id="rId48" w:tooltip="Henry Classification System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Henry Classification System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, co-devised by </w:t>
      </w:r>
      <w:proofErr w:type="spellStart"/>
      <w:r w:rsidRPr="00CD6EBA">
        <w:rPr>
          <w:color w:val="984806" w:themeColor="accent6" w:themeShade="80"/>
          <w:sz w:val="24"/>
          <w:szCs w:val="24"/>
          <w:lang w:val="en"/>
        </w:rPr>
        <w:t>Haque</w:t>
      </w:r>
      <w:proofErr w:type="spellEnd"/>
      <w:r w:rsidRPr="00CD6EBA">
        <w:rPr>
          <w:color w:val="984806" w:themeColor="accent6" w:themeShade="80"/>
          <w:sz w:val="24"/>
          <w:szCs w:val="24"/>
          <w:lang w:val="en"/>
        </w:rPr>
        <w:t xml:space="preserve"> and Bose, was accepted in England and Wales when the first United Kingdom Fingerprint Bureau was founded in </w:t>
      </w:r>
      <w:hyperlink r:id="rId49" w:tooltip="Scotland Yard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Scotland Yard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, the </w:t>
      </w:r>
      <w:hyperlink r:id="rId50" w:tooltip="Metropolitan Police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Metropolitan Police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headquarters, London, in 1901. Sir Edward Richard Henry subsequently achieved improvements in </w:t>
      </w:r>
      <w:proofErr w:type="spellStart"/>
      <w:r w:rsidRPr="00CD6EBA">
        <w:rPr>
          <w:color w:val="984806" w:themeColor="accent6" w:themeShade="80"/>
          <w:sz w:val="24"/>
          <w:szCs w:val="24"/>
          <w:lang w:val="en"/>
        </w:rPr>
        <w:t>dactyloscopy</w:t>
      </w:r>
      <w:proofErr w:type="spellEnd"/>
      <w:r w:rsidRPr="00CD6EBA">
        <w:rPr>
          <w:color w:val="984806" w:themeColor="accent6" w:themeShade="80"/>
          <w:sz w:val="24"/>
          <w:szCs w:val="24"/>
          <w:lang w:val="en"/>
        </w:rPr>
        <w:t>.</w:t>
      </w:r>
    </w:p>
    <w:p w:rsidR="00107CC1" w:rsidRPr="00CD6EBA" w:rsidRDefault="00107CC1" w:rsidP="00107CC1">
      <w:pPr>
        <w:rPr>
          <w:color w:val="984806" w:themeColor="accent6" w:themeShade="80"/>
          <w:sz w:val="24"/>
          <w:szCs w:val="24"/>
          <w:lang w:val="en"/>
        </w:rPr>
      </w:pPr>
      <w:r w:rsidRPr="00CD6EBA">
        <w:rPr>
          <w:color w:val="984806" w:themeColor="accent6" w:themeShade="80"/>
          <w:sz w:val="24"/>
          <w:szCs w:val="24"/>
          <w:lang w:val="en"/>
        </w:rPr>
        <w:t xml:space="preserve">In the United States, Dr. Henry P. </w:t>
      </w:r>
      <w:proofErr w:type="spellStart"/>
      <w:r w:rsidRPr="00CD6EBA">
        <w:rPr>
          <w:color w:val="984806" w:themeColor="accent6" w:themeShade="80"/>
          <w:sz w:val="24"/>
          <w:szCs w:val="24"/>
          <w:lang w:val="en"/>
        </w:rPr>
        <w:t>DeForrest</w:t>
      </w:r>
      <w:proofErr w:type="spellEnd"/>
      <w:r w:rsidRPr="00CD6EBA">
        <w:rPr>
          <w:color w:val="984806" w:themeColor="accent6" w:themeShade="80"/>
          <w:sz w:val="24"/>
          <w:szCs w:val="24"/>
          <w:lang w:val="en"/>
        </w:rPr>
        <w:t xml:space="preserve"> used fingerprinting in the </w:t>
      </w:r>
      <w:hyperlink r:id="rId51" w:tooltip="New York Police Department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New York Civil Service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in 1902, and by December 1905, </w:t>
      </w:r>
      <w:hyperlink r:id="rId52" w:tooltip="New York City Police Department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New York City Police Department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Deputy Commissioner Joseph A. </w:t>
      </w:r>
      <w:proofErr w:type="spellStart"/>
      <w:r w:rsidRPr="00CD6EBA">
        <w:rPr>
          <w:color w:val="984806" w:themeColor="accent6" w:themeShade="80"/>
          <w:sz w:val="24"/>
          <w:szCs w:val="24"/>
          <w:lang w:val="en"/>
        </w:rPr>
        <w:t>Faurot</w:t>
      </w:r>
      <w:proofErr w:type="spellEnd"/>
      <w:r w:rsidRPr="00CD6EBA">
        <w:rPr>
          <w:color w:val="984806" w:themeColor="accent6" w:themeShade="80"/>
          <w:sz w:val="24"/>
          <w:szCs w:val="24"/>
          <w:lang w:val="en"/>
        </w:rPr>
        <w:t xml:space="preserve">, an expert in the </w:t>
      </w:r>
      <w:hyperlink r:id="rId53" w:tooltip="Alphonse Bertillon" w:history="1">
        <w:r w:rsidRPr="00CD6EBA">
          <w:rPr>
            <w:rStyle w:val="Hyperlink"/>
            <w:color w:val="984806" w:themeColor="accent6" w:themeShade="80"/>
            <w:sz w:val="24"/>
            <w:szCs w:val="24"/>
            <w:u w:val="none"/>
            <w:lang w:val="en"/>
          </w:rPr>
          <w:t>Bertillon</w:t>
        </w:r>
      </w:hyperlink>
      <w:r w:rsidRPr="00CD6EBA">
        <w:rPr>
          <w:color w:val="984806" w:themeColor="accent6" w:themeShade="80"/>
          <w:sz w:val="24"/>
          <w:szCs w:val="24"/>
          <w:lang w:val="en"/>
        </w:rPr>
        <w:t xml:space="preserve"> system and a fingerprint advocate at Police Headquarters, introduced the fingerprinting of criminals to the United States.</w:t>
      </w:r>
    </w:p>
    <w:p w:rsidR="00107CC1" w:rsidRDefault="00107CC1" w:rsidP="00107CC1">
      <w:pPr>
        <w:rPr>
          <w:color w:val="984806" w:themeColor="accent6" w:themeShade="80"/>
          <w:sz w:val="24"/>
          <w:szCs w:val="24"/>
          <w:lang w:val="en"/>
        </w:rPr>
      </w:pPr>
    </w:p>
    <w:p w:rsidR="00107CC1" w:rsidRPr="00CD6EBA" w:rsidRDefault="00CD6EBA" w:rsidP="00CD6EBA">
      <w:pPr>
        <w:rPr>
          <w:color w:val="984806" w:themeColor="accent6" w:themeShade="80"/>
          <w:sz w:val="24"/>
          <w:szCs w:val="24"/>
        </w:rPr>
      </w:pPr>
      <w:r w:rsidRPr="00CD6EBA">
        <w:rPr>
          <w:color w:val="984806" w:themeColor="accent6" w:themeShade="80"/>
          <w:sz w:val="24"/>
          <w:szCs w:val="24"/>
        </w:rPr>
        <w:drawing>
          <wp:inline distT="0" distB="0" distL="0" distR="0">
            <wp:extent cx="1895474" cy="1333500"/>
            <wp:effectExtent l="0" t="0" r="0" b="0"/>
            <wp:docPr id="6" name="Picture 6" descr="Image result for forensic science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orensic science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85" cy="134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CC1" w:rsidRPr="00CD6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C1"/>
    <w:rsid w:val="00107CC1"/>
    <w:rsid w:val="00CD6EBA"/>
    <w:rsid w:val="00E0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7C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7C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07C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7C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7C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07C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1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en.wikipedia.org/wiki/Surgery" TargetMode="External"/><Relationship Id="rId26" Type="http://schemas.openxmlformats.org/officeDocument/2006/relationships/hyperlink" Target="https://en.wikipedia.org/wiki/Procedure_(term)" TargetMode="External"/><Relationship Id="rId39" Type="http://schemas.openxmlformats.org/officeDocument/2006/relationships/hyperlink" Target="https://en.wikipedia.org/wiki/Metropolitan_Police" TargetMode="External"/><Relationship Id="rId21" Type="http://schemas.openxmlformats.org/officeDocument/2006/relationships/hyperlink" Target="https://en.wikipedia.org/w/index.php?title=Francois_Immanuele_Fod%C3%A9r%C3%A9&amp;action=edit&amp;redlink=1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s://en.wikipedia.org/wiki/Juan_Vucetich" TargetMode="External"/><Relationship Id="rId47" Type="http://schemas.openxmlformats.org/officeDocument/2006/relationships/hyperlink" Target="https://en.wikipedia.org/wiki/Edward_Henry" TargetMode="External"/><Relationship Id="rId50" Type="http://schemas.openxmlformats.org/officeDocument/2006/relationships/hyperlink" Target="https://en.wikipedia.org/wiki/Metropolitan_Police" TargetMode="External"/><Relationship Id="rId55" Type="http://schemas.openxmlformats.org/officeDocument/2006/relationships/image" Target="media/image3.jpeg"/><Relationship Id="rId7" Type="http://schemas.openxmlformats.org/officeDocument/2006/relationships/hyperlink" Target="https://en.wikipedia.org/wiki/Civil_law_(legal_system)" TargetMode="External"/><Relationship Id="rId12" Type="http://schemas.openxmlformats.org/officeDocument/2006/relationships/hyperlink" Target="https://en.wikipedia.org/wiki/File:Punuk.Alaska.skulls.jpg" TargetMode="External"/><Relationship Id="rId17" Type="http://schemas.openxmlformats.org/officeDocument/2006/relationships/hyperlink" Target="https://en.wikipedia.org/wiki/Ambroise_Par%C3%A9" TargetMode="External"/><Relationship Id="rId25" Type="http://schemas.openxmlformats.org/officeDocument/2006/relationships/hyperlink" Target="https://en.wikipedia.org/wiki/Logic" TargetMode="External"/><Relationship Id="rId33" Type="http://schemas.openxmlformats.org/officeDocument/2006/relationships/hyperlink" Target="https://en.wikipedia.org/wiki/File:Fingerprints_taken_by_William_James_Herschel_1859-1860.jpg" TargetMode="External"/><Relationship Id="rId38" Type="http://schemas.openxmlformats.org/officeDocument/2006/relationships/hyperlink" Target="https://en.wikipedia.org/wiki/Nature_(journal)" TargetMode="External"/><Relationship Id="rId46" Type="http://schemas.openxmlformats.org/officeDocument/2006/relationships/hyperlink" Target="https://en.wikipedia.org/wiki/Hem_Chandra_Bos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Manner_of_death" TargetMode="External"/><Relationship Id="rId20" Type="http://schemas.openxmlformats.org/officeDocument/2006/relationships/hyperlink" Target="https://en.wikipedia.org/wiki/Pathology" TargetMode="External"/><Relationship Id="rId29" Type="http://schemas.openxmlformats.org/officeDocument/2006/relationships/hyperlink" Target="https://en.wikipedia.org/wiki/Warwick" TargetMode="External"/><Relationship Id="rId41" Type="http://schemas.openxmlformats.org/officeDocument/2006/relationships/hyperlink" Target="https://en.wikipedia.org/wiki/Francis_Galton" TargetMode="External"/><Relationship Id="rId54" Type="http://schemas.openxmlformats.org/officeDocument/2006/relationships/hyperlink" Target="http://www.google.com/url?url=http://educationgroup.co.uk/workshops/forensic-science&amp;rct=j&amp;frm=1&amp;q=&amp;esrc=s&amp;sa=U&amp;ved=0ahUKEwjU9fmknI3SAhWE7hoKHVccDcYQwW4IHTAE&amp;usg=AFQjCNFcCmPLFugSx0qI2TiVAmIPAl03dg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Criminal_law" TargetMode="External"/><Relationship Id="rId11" Type="http://schemas.openxmlformats.org/officeDocument/2006/relationships/hyperlink" Target="https://en.wikipedia.org/wiki/Evidence" TargetMode="External"/><Relationship Id="rId24" Type="http://schemas.openxmlformats.org/officeDocument/2006/relationships/hyperlink" Target="https://en.wikipedia.org/wiki/Occult" TargetMode="External"/><Relationship Id="rId32" Type="http://schemas.openxmlformats.org/officeDocument/2006/relationships/hyperlink" Target="https://en.wikipedia.org/wiki/Indian_Civil_Service_(British_India)" TargetMode="External"/><Relationship Id="rId37" Type="http://schemas.openxmlformats.org/officeDocument/2006/relationships/hyperlink" Target="https://en.wikipedia.org/wiki/Tokyo" TargetMode="External"/><Relationship Id="rId40" Type="http://schemas.openxmlformats.org/officeDocument/2006/relationships/hyperlink" Target="https://en.wikipedia.org/wiki/Charles_Darwin" TargetMode="External"/><Relationship Id="rId45" Type="http://schemas.openxmlformats.org/officeDocument/2006/relationships/hyperlink" Target="https://en.wikipedia.org/wiki/Azizul_Haque_(police_officer)" TargetMode="External"/><Relationship Id="rId53" Type="http://schemas.openxmlformats.org/officeDocument/2006/relationships/hyperlink" Target="https://en.wikipedia.org/wiki/Alphonse_Bertillon" TargetMode="External"/><Relationship Id="rId5" Type="http://schemas.openxmlformats.org/officeDocument/2006/relationships/hyperlink" Target="https://en.wikipedia.org/wiki/Science" TargetMode="External"/><Relationship Id="rId15" Type="http://schemas.openxmlformats.org/officeDocument/2006/relationships/hyperlink" Target="https://en.wikipedia.org/wiki/Prosecutor" TargetMode="External"/><Relationship Id="rId23" Type="http://schemas.openxmlformats.org/officeDocument/2006/relationships/hyperlink" Target="https://en.wikipedia.org/wiki/Enlightenment_era" TargetMode="External"/><Relationship Id="rId28" Type="http://schemas.openxmlformats.org/officeDocument/2006/relationships/hyperlink" Target="https://en.wikipedia.org/wiki/Pistol" TargetMode="External"/><Relationship Id="rId36" Type="http://schemas.openxmlformats.org/officeDocument/2006/relationships/hyperlink" Target="https://en.wikipedia.org/wiki/Henry_Faulds" TargetMode="External"/><Relationship Id="rId49" Type="http://schemas.openxmlformats.org/officeDocument/2006/relationships/hyperlink" Target="https://en.wikipedia.org/wiki/Scotland_Yard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en.wikipedia.org/wiki/Criminal_procedure" TargetMode="External"/><Relationship Id="rId19" Type="http://schemas.openxmlformats.org/officeDocument/2006/relationships/hyperlink" Target="https://en.wikipedia.org/wiki/Italian_people" TargetMode="External"/><Relationship Id="rId31" Type="http://schemas.openxmlformats.org/officeDocument/2006/relationships/hyperlink" Target="https://en.wikipedia.org/wiki/Sir_William_Herschel,_2nd_Baronet" TargetMode="External"/><Relationship Id="rId44" Type="http://schemas.openxmlformats.org/officeDocument/2006/relationships/hyperlink" Target="https://en.wikipedia.org/wiki/Kolkata" TargetMode="External"/><Relationship Id="rId52" Type="http://schemas.openxmlformats.org/officeDocument/2006/relationships/hyperlink" Target="https://en.wikipedia.org/wiki/New_York_City_Police_Depart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dmissible_evidence" TargetMode="External"/><Relationship Id="rId14" Type="http://schemas.openxmlformats.org/officeDocument/2006/relationships/hyperlink" Target="https://en.wikipedia.org/wiki/Expert_witness" TargetMode="External"/><Relationship Id="rId22" Type="http://schemas.openxmlformats.org/officeDocument/2006/relationships/hyperlink" Target="https://en.wikipedia.org/wiki/Johann_Peter_Frank" TargetMode="External"/><Relationship Id="rId27" Type="http://schemas.openxmlformats.org/officeDocument/2006/relationships/hyperlink" Target="https://en.wikipedia.org/wiki/Lancaster,_Lancashire" TargetMode="External"/><Relationship Id="rId30" Type="http://schemas.openxmlformats.org/officeDocument/2006/relationships/hyperlink" Target="https://en.wikipedia.org/wiki/Wheat" TargetMode="External"/><Relationship Id="rId35" Type="http://schemas.openxmlformats.org/officeDocument/2006/relationships/hyperlink" Target="https://en.wikipedia.org/wiki/William_Herschel" TargetMode="External"/><Relationship Id="rId43" Type="http://schemas.openxmlformats.org/officeDocument/2006/relationships/hyperlink" Target="https://en.wikipedia.org/wiki/Necochea" TargetMode="External"/><Relationship Id="rId48" Type="http://schemas.openxmlformats.org/officeDocument/2006/relationships/hyperlink" Target="https://en.wikipedia.org/wiki/Henry_Classification_Syste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en.wikipedia.org/wiki/Criminal_investigation" TargetMode="External"/><Relationship Id="rId51" Type="http://schemas.openxmlformats.org/officeDocument/2006/relationships/hyperlink" Target="https://en.wikipedia.org/wiki/New_York_Police_Departmen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 Hannoush</dc:creator>
  <cp:lastModifiedBy>Ashraf Hannoush</cp:lastModifiedBy>
  <cp:revision>2</cp:revision>
  <dcterms:created xsi:type="dcterms:W3CDTF">2017-02-13T13:34:00Z</dcterms:created>
  <dcterms:modified xsi:type="dcterms:W3CDTF">2017-02-13T13:54:00Z</dcterms:modified>
</cp:coreProperties>
</file>